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Opaleye Management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BOSTON PLACE, 26TH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Eton Pharmaceuticals, Inc.</w:t>
              </w:r>
            </w:hyperlink>
            <w:r>
              <w:rPr/>
              <w:t xml:space="preserve"> [ </w:t>
            </w:r>
            <w:r>
              <w:rPr>
                <w:rFonts w:ascii="Times;serif" w:hAnsi="Times;serif"/>
                <w:color w:val="0000FF"/>
                <w:sz w:val="24"/>
                <w:shd w:fill="FFFFFF" w:val="clear"/>
              </w:rPr>
              <w:t>ETON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07/16/2026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8"/>
        <w:gridCol w:w="908"/>
        <w:gridCol w:w="780"/>
        <w:gridCol w:w="603"/>
        <w:gridCol w:w="337"/>
        <w:gridCol w:w="902"/>
        <w:gridCol w:w="420"/>
        <w:gridCol w:w="981"/>
        <w:gridCol w:w="1240"/>
        <w:gridCol w:w="959"/>
        <w:gridCol w:w="10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37.5431</w:t>
            </w:r>
            <w:r>
              <w:rPr>
                <w:rFonts w:ascii="Times;serif" w:hAnsi="Times;serif"/>
                <w:color w:val="008000"/>
                <w:position w:val="7"/>
                <w:sz w:val="16"/>
                <w:sz w:val="20"/>
                <w:shd w:fill="FFFFFF" w:val="clear"/>
              </w:rPr>
              <w:t>(3)</w:t>
            </w:r>
            <w:r>
              <w:rPr/>
              <w:t xml:space="preserve"> </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2,665,000</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(1)(4)</w:t>
            </w:r>
            <w:r>
              <w:rPr/>
              <w:t xml:space="preserve"> </w:t>
            </w:r>
          </w:p>
        </w:tc>
      </w:tr>
      <w:tr>
        <w:trPr/>
        <w:tc>
          <w:tcPr>
            <w:tcW w:w="200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13,315</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37.5431</w:t>
            </w:r>
            <w:r>
              <w:rPr>
                <w:rFonts w:ascii="Times;serif" w:hAnsi="Times;serif"/>
                <w:color w:val="008000"/>
                <w:position w:val="7"/>
                <w:sz w:val="16"/>
                <w:sz w:val="20"/>
                <w:shd w:fill="FFFFFF" w:val="clear"/>
              </w:rPr>
              <w:t>(3)</w:t>
            </w:r>
            <w:r>
              <w:rPr/>
              <w:t xml:space="preserve"> </w:t>
            </w:r>
          </w:p>
        </w:tc>
        <w:tc>
          <w:tcPr>
            <w:tcW w:w="12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w:t>
            </w:r>
            <w:r>
              <w:rPr>
                <w:rFonts w:ascii="Times;serif" w:hAnsi="Times;serif"/>
                <w:color w:val="008000"/>
                <w:position w:val="7"/>
                <w:sz w:val="16"/>
                <w:sz w:val="20"/>
                <w:shd w:fill="FFFFFF" w:val="clear"/>
              </w:rPr>
              <w:t>(2)(4)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securities owned directly by Opaleye, L.P. (the "Fund"). As the investment manager of the Fund, Opaleye Management, Inc.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owned by a separately managed account (the "Managed Account"). As the portfolio manager of the Managed Account, Opaleye Management, Inc. may be deemed to beneficially own the securities owned directly by the Managed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$37.0152 to $37.9148 inclusive. The reporting person undertakes to provide, upon request by the SEC staff, the issuer, or a security holder of the issuer, full information regarding the number of shares sold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is filed solely to check the box indicating that the reporting person is no longer subject to Section 16.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Opaleye Management, Inc., By: /s/ James Silverman,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5855" TargetMode="External"/><Relationship Id="rId5" Type="http://schemas.openxmlformats.org/officeDocument/2006/relationships/hyperlink" Target="http://www.sec.gov/cgi-bin/browse-edgar?action=getcompany&amp;CIK=00017103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804</Words>
  <Characters>4338</Characters>
  <CharactersWithSpaces>5072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