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206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ETON PHARMACEUTICALS,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260" w:type="dxa"/>
        <w:tblCellMar>
          <w:top w:w="0" w:type="dxa"/>
          <w:left w:w="0" w:type="dxa"/>
          <w:bottom w:w="0" w:type="dxa"/>
          <w:right w:w="0" w:type="dxa"/>
        </w:tblCellMar>
      </w:tblPr>
      <w:tr>
        <w:trPr>
          <w:trHeight w:val="216"/>
        </w:trPr>
        <w:tc>
          <w:tcPr>
            <w:tcW w:w="1720" w:type="dxa"/>
            <w:vAlign w:val="bottom"/>
          </w:tcPr>
          <w:p>
            <w:pPr>
              <w:jc w:val="center"/>
              <w:ind w:right="530"/>
              <w:spacing w:after="0"/>
              <w:rPr>
                <w:sz w:val="20"/>
                <w:szCs w:val="20"/>
                <w:color w:val="auto"/>
              </w:rPr>
            </w:pPr>
            <w:r>
              <w:rPr>
                <w:rFonts w:ascii="Arial" w:cs="Arial" w:eastAsia="Arial" w:hAnsi="Arial"/>
                <w:sz w:val="18"/>
                <w:szCs w:val="18"/>
                <w:b w:val="1"/>
                <w:bCs w:val="1"/>
                <w:color w:val="auto"/>
                <w:w w:val="93"/>
              </w:rPr>
              <w:t>Delaware</w:t>
            </w:r>
          </w:p>
        </w:tc>
        <w:tc>
          <w:tcPr>
            <w:tcW w:w="512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001-38738</w:t>
            </w:r>
          </w:p>
        </w:tc>
        <w:tc>
          <w:tcPr>
            <w:tcW w:w="224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37-1858472</w:t>
            </w:r>
          </w:p>
        </w:tc>
      </w:tr>
      <w:tr>
        <w:trPr>
          <w:trHeight w:val="216"/>
        </w:trPr>
        <w:tc>
          <w:tcPr>
            <w:tcW w:w="1720" w:type="dxa"/>
            <w:vAlign w:val="bottom"/>
          </w:tcPr>
          <w:p>
            <w:pPr>
              <w:jc w:val="center"/>
              <w:ind w:right="530"/>
              <w:spacing w:after="0"/>
              <w:rPr>
                <w:sz w:val="20"/>
                <w:szCs w:val="20"/>
                <w:color w:val="auto"/>
              </w:rPr>
            </w:pPr>
            <w:r>
              <w:rPr>
                <w:rFonts w:ascii="Arial" w:cs="Arial" w:eastAsia="Arial" w:hAnsi="Arial"/>
                <w:sz w:val="18"/>
                <w:szCs w:val="18"/>
                <w:b w:val="1"/>
                <w:bCs w:val="1"/>
                <w:color w:val="auto"/>
                <w:w w:val="91"/>
              </w:rPr>
              <w:t>(State of</w:t>
            </w:r>
          </w:p>
        </w:tc>
        <w:tc>
          <w:tcPr>
            <w:tcW w:w="5120" w:type="dxa"/>
            <w:vAlign w:val="bottom"/>
          </w:tcPr>
          <w:p>
            <w:pPr>
              <w:jc w:val="center"/>
              <w:ind w:left="110"/>
              <w:spacing w:after="0"/>
              <w:rPr>
                <w:sz w:val="20"/>
                <w:szCs w:val="20"/>
                <w:color w:val="auto"/>
              </w:rPr>
            </w:pPr>
            <w:r>
              <w:rPr>
                <w:rFonts w:ascii="Arial" w:cs="Arial" w:eastAsia="Arial" w:hAnsi="Arial"/>
                <w:sz w:val="18"/>
                <w:szCs w:val="18"/>
                <w:b w:val="1"/>
                <w:bCs w:val="1"/>
                <w:color w:val="auto"/>
                <w:w w:val="87"/>
              </w:rPr>
              <w:t>(Commission</w:t>
            </w:r>
          </w:p>
        </w:tc>
        <w:tc>
          <w:tcPr>
            <w:tcW w:w="2240" w:type="dxa"/>
            <w:vAlign w:val="bottom"/>
          </w:tcPr>
          <w:p>
            <w:pPr>
              <w:jc w:val="center"/>
              <w:ind w:left="3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1720" w:type="dxa"/>
            <w:vAlign w:val="bottom"/>
          </w:tcPr>
          <w:p>
            <w:pPr>
              <w:jc w:val="center"/>
              <w:ind w:right="530"/>
              <w:spacing w:after="0"/>
              <w:rPr>
                <w:sz w:val="20"/>
                <w:szCs w:val="20"/>
                <w:color w:val="auto"/>
              </w:rPr>
            </w:pPr>
            <w:r>
              <w:rPr>
                <w:rFonts w:ascii="Arial" w:cs="Arial" w:eastAsia="Arial" w:hAnsi="Arial"/>
                <w:sz w:val="18"/>
                <w:szCs w:val="18"/>
                <w:b w:val="1"/>
                <w:bCs w:val="1"/>
                <w:color w:val="auto"/>
                <w:w w:val="90"/>
              </w:rPr>
              <w:t>incorporation)</w:t>
            </w:r>
          </w:p>
        </w:tc>
        <w:tc>
          <w:tcPr>
            <w:tcW w:w="5120" w:type="dxa"/>
            <w:vAlign w:val="bottom"/>
          </w:tcPr>
          <w:p>
            <w:pPr>
              <w:jc w:val="center"/>
              <w:ind w:left="110"/>
              <w:spacing w:after="0"/>
              <w:rPr>
                <w:sz w:val="20"/>
                <w:szCs w:val="20"/>
                <w:color w:val="auto"/>
              </w:rPr>
            </w:pPr>
            <w:r>
              <w:rPr>
                <w:rFonts w:ascii="Arial" w:cs="Arial" w:eastAsia="Arial" w:hAnsi="Arial"/>
                <w:sz w:val="18"/>
                <w:szCs w:val="18"/>
                <w:b w:val="1"/>
                <w:bCs w:val="1"/>
                <w:color w:val="auto"/>
                <w:w w:val="94"/>
              </w:rPr>
              <w:t>File Number)</w:t>
            </w:r>
          </w:p>
        </w:tc>
        <w:tc>
          <w:tcPr>
            <w:tcW w:w="2240" w:type="dxa"/>
            <w:vAlign w:val="bottom"/>
          </w:tcPr>
          <w:p>
            <w:pPr>
              <w:jc w:val="center"/>
              <w:ind w:left="370"/>
              <w:spacing w:after="0"/>
              <w:rPr>
                <w:sz w:val="20"/>
                <w:szCs w:val="20"/>
                <w:color w:val="auto"/>
              </w:rPr>
            </w:pPr>
            <w:r>
              <w:rPr>
                <w:rFonts w:ascii="Arial" w:cs="Arial" w:eastAsia="Arial" w:hAnsi="Arial"/>
                <w:sz w:val="18"/>
                <w:szCs w:val="18"/>
                <w:b w:val="1"/>
                <w:bCs w:val="1"/>
                <w:color w:val="auto"/>
                <w:w w:val="93"/>
              </w:rPr>
              <w:t>Identification Number)</w:t>
            </w:r>
          </w:p>
        </w:tc>
      </w:tr>
      <w:tr>
        <w:trPr>
          <w:trHeight w:val="414"/>
        </w:trPr>
        <w:tc>
          <w:tcPr>
            <w:tcW w:w="1720" w:type="dxa"/>
            <w:vAlign w:val="bottom"/>
          </w:tcPr>
          <w:p>
            <w:pPr>
              <w:spacing w:after="0"/>
              <w:rPr>
                <w:sz w:val="24"/>
                <w:szCs w:val="24"/>
                <w:color w:val="auto"/>
              </w:rPr>
            </w:pPr>
          </w:p>
        </w:tc>
        <w:tc>
          <w:tcPr>
            <w:tcW w:w="512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21925 W. Field Parkway, Suite 235</w:t>
            </w:r>
          </w:p>
        </w:tc>
        <w:tc>
          <w:tcPr>
            <w:tcW w:w="2240" w:type="dxa"/>
            <w:vAlign w:val="bottom"/>
          </w:tcPr>
          <w:p>
            <w:pPr>
              <w:spacing w:after="0"/>
              <w:rPr>
                <w:sz w:val="24"/>
                <w:szCs w:val="24"/>
                <w:color w:val="auto"/>
              </w:rPr>
            </w:pPr>
          </w:p>
        </w:tc>
      </w:tr>
      <w:tr>
        <w:trPr>
          <w:trHeight w:val="216"/>
        </w:trPr>
        <w:tc>
          <w:tcPr>
            <w:tcW w:w="1720" w:type="dxa"/>
            <w:vAlign w:val="bottom"/>
          </w:tcPr>
          <w:p>
            <w:pPr>
              <w:spacing w:after="0"/>
              <w:rPr>
                <w:sz w:val="18"/>
                <w:szCs w:val="18"/>
                <w:color w:val="auto"/>
              </w:rPr>
            </w:pPr>
          </w:p>
        </w:tc>
        <w:tc>
          <w:tcPr>
            <w:tcW w:w="512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Deer Park, Illinois 60010-7208</w:t>
            </w:r>
          </w:p>
        </w:tc>
        <w:tc>
          <w:tcPr>
            <w:tcW w:w="2240" w:type="dxa"/>
            <w:vAlign w:val="bottom"/>
          </w:tcPr>
          <w:p>
            <w:pPr>
              <w:spacing w:after="0"/>
              <w:rPr>
                <w:sz w:val="18"/>
                <w:szCs w:val="18"/>
                <w:color w:val="auto"/>
              </w:rPr>
            </w:pPr>
          </w:p>
        </w:tc>
      </w:tr>
      <w:tr>
        <w:trPr>
          <w:trHeight w:val="234"/>
        </w:trPr>
        <w:tc>
          <w:tcPr>
            <w:tcW w:w="1720" w:type="dxa"/>
            <w:vAlign w:val="bottom"/>
          </w:tcPr>
          <w:p>
            <w:pPr>
              <w:spacing w:after="0"/>
              <w:rPr>
                <w:sz w:val="20"/>
                <w:szCs w:val="20"/>
                <w:color w:val="auto"/>
              </w:rPr>
            </w:pPr>
          </w:p>
        </w:tc>
        <w:tc>
          <w:tcPr>
            <w:tcW w:w="5120" w:type="dxa"/>
            <w:vAlign w:val="bottom"/>
          </w:tcPr>
          <w:p>
            <w:pPr>
              <w:jc w:val="center"/>
              <w:ind w:left="70"/>
              <w:spacing w:after="0"/>
              <w:rPr>
                <w:sz w:val="20"/>
                <w:szCs w:val="20"/>
                <w:color w:val="auto"/>
              </w:rPr>
            </w:pPr>
            <w:r>
              <w:rPr>
                <w:rFonts w:ascii="Arial" w:cs="Arial" w:eastAsia="Arial" w:hAnsi="Arial"/>
                <w:sz w:val="18"/>
                <w:szCs w:val="18"/>
                <w:b w:val="1"/>
                <w:bCs w:val="1"/>
                <w:color w:val="auto"/>
                <w:w w:val="88"/>
              </w:rPr>
              <w:t>(Address of principal executive offices) (Zip code)</w:t>
            </w:r>
          </w:p>
        </w:tc>
        <w:tc>
          <w:tcPr>
            <w:tcW w:w="2240" w:type="dxa"/>
            <w:vAlign w:val="bottom"/>
          </w:tcPr>
          <w:p>
            <w:pPr>
              <w:spacing w:after="0"/>
              <w:rPr>
                <w:sz w:val="20"/>
                <w:szCs w:val="20"/>
                <w:color w:val="auto"/>
              </w:rPr>
            </w:pPr>
          </w:p>
        </w:tc>
      </w:tr>
      <w:tr>
        <w:trPr>
          <w:trHeight w:val="414"/>
        </w:trPr>
        <w:tc>
          <w:tcPr>
            <w:tcW w:w="1720" w:type="dxa"/>
            <w:vAlign w:val="bottom"/>
          </w:tcPr>
          <w:p>
            <w:pPr>
              <w:spacing w:after="0"/>
              <w:rPr>
                <w:sz w:val="24"/>
                <w:szCs w:val="24"/>
                <w:color w:val="auto"/>
              </w:rPr>
            </w:pPr>
          </w:p>
        </w:tc>
        <w:tc>
          <w:tcPr>
            <w:tcW w:w="512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(847) 787-7361</w:t>
            </w:r>
          </w:p>
        </w:tc>
        <w:tc>
          <w:tcPr>
            <w:tcW w:w="2240" w:type="dxa"/>
            <w:vAlign w:val="bottom"/>
          </w:tcPr>
          <w:p>
            <w:pPr>
              <w:spacing w:after="0"/>
              <w:rPr>
                <w:sz w:val="24"/>
                <w:szCs w:val="24"/>
                <w:color w:val="auto"/>
              </w:rPr>
            </w:pPr>
          </w:p>
        </w:tc>
      </w:tr>
      <w:tr>
        <w:trPr>
          <w:trHeight w:val="234"/>
        </w:trPr>
        <w:tc>
          <w:tcPr>
            <w:tcW w:w="1720" w:type="dxa"/>
            <w:vAlign w:val="bottom"/>
          </w:tcPr>
          <w:p>
            <w:pPr>
              <w:spacing w:after="0"/>
              <w:rPr>
                <w:sz w:val="20"/>
                <w:szCs w:val="20"/>
                <w:color w:val="auto"/>
              </w:rPr>
            </w:pPr>
          </w:p>
        </w:tc>
        <w:tc>
          <w:tcPr>
            <w:tcW w:w="512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22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137160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ETON</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NASDAQ Global Market</w:t>
            </w:r>
          </w:p>
        </w:tc>
      </w:tr>
    </w:tbl>
    <w:p>
      <w:pPr>
        <w:spacing w:after="0" w:line="183"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Eton Pharmaceuticals disclosed today that a recent amendment to the topiramate drug product application by Eton’s partner has extended the goal date by three months to provide time for a full review of the submission by the U.S. Food and Drug Administration (“FDA”). The new PDUFA user fee goal date is November 6, 2021. Eton expects the FDA to announce a decision on or before this new PDUFA date. The product’s U.S. manufacturing facility was successfully inspected by the FDA in August 2020, so Eton does not expect a pre-approval inspection for the product application. Additionally, the FDA has communicated conditional acceptance of the proposed proprietary name of the product. Eton is no longer responsible for regulatory activities regarding the product. Upon the product’s approval and launch, Eton is entitled to receive a $5 million milestone payment and a royalty on future sales of the product.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August 6,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W. Wilson Troutman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 Wilson Troutman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Secretary</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2021-08-06T17:28:58Z</dcterms:created>
  <dcterms:modified xsi:type="dcterms:W3CDTF">2021-08-06T17:28:58Z</dcterms:modified>
</cp:coreProperties>
</file>